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8BBB" w14:textId="2B34E5FE" w:rsidR="00450028" w:rsidRPr="00450028" w:rsidRDefault="00450028" w:rsidP="00450028">
      <w:pPr>
        <w:pStyle w:val="Default"/>
        <w:jc w:val="center"/>
        <w:rPr>
          <w:b/>
          <w:u w:val="single"/>
        </w:rPr>
      </w:pPr>
      <w:r>
        <w:rPr>
          <w:b/>
          <w:u w:val="single"/>
        </w:rPr>
        <w:t xml:space="preserve">Proposed Amendments to </w:t>
      </w:r>
      <w:r w:rsidR="002617FF">
        <w:rPr>
          <w:b/>
          <w:u w:val="single"/>
        </w:rPr>
        <w:t>Scope of</w:t>
      </w:r>
      <w:r w:rsidR="003441D1">
        <w:rPr>
          <w:b/>
          <w:u w:val="single"/>
        </w:rPr>
        <w:t xml:space="preserve"> Proposed</w:t>
      </w:r>
      <w:r w:rsidR="002617FF">
        <w:rPr>
          <w:b/>
          <w:u w:val="single"/>
        </w:rPr>
        <w:t xml:space="preserve"> Special Procedural Rules </w:t>
      </w:r>
      <w:r w:rsidR="002617FF">
        <w:rPr>
          <w:b/>
          <w:u w:val="single"/>
        </w:rPr>
        <w:br/>
        <w:t xml:space="preserve">for Social Security Litigation in District Court </w:t>
      </w:r>
    </w:p>
    <w:p w14:paraId="10A0453A" w14:textId="77777777" w:rsidR="00450028" w:rsidRDefault="00450028" w:rsidP="00450028">
      <w:pPr>
        <w:pStyle w:val="Default"/>
      </w:pPr>
    </w:p>
    <w:p w14:paraId="13A0F61B" w14:textId="1C2B2793" w:rsidR="0043796D" w:rsidRDefault="003815F9" w:rsidP="0043796D">
      <w:pPr>
        <w:pStyle w:val="Default"/>
        <w:ind w:firstLine="720"/>
      </w:pPr>
      <w:r>
        <w:t xml:space="preserve">We believe </w:t>
      </w:r>
      <w:r w:rsidR="00786485">
        <w:t xml:space="preserve">that </w:t>
      </w:r>
      <w:r>
        <w:t xml:space="preserve">a </w:t>
      </w:r>
      <w:r w:rsidR="003441D1">
        <w:t xml:space="preserve">minor </w:t>
      </w:r>
      <w:r w:rsidR="000C792C" w:rsidRPr="00951B6F">
        <w:t>revision to Recommendation 1 would clarify the intended scope of the proposed new rules</w:t>
      </w:r>
      <w:r w:rsidR="0043796D">
        <w:t xml:space="preserve"> an</w:t>
      </w:r>
      <w:r w:rsidR="0037537A">
        <w:t xml:space="preserve">d that corresponding </w:t>
      </w:r>
      <w:r w:rsidR="003441D1">
        <w:t xml:space="preserve">minor </w:t>
      </w:r>
      <w:r w:rsidR="0037537A">
        <w:t>revisions to</w:t>
      </w:r>
      <w:r w:rsidR="0043796D">
        <w:t xml:space="preserve"> the preamble are warranted for consistency.</w:t>
      </w:r>
    </w:p>
    <w:p w14:paraId="210E2B86" w14:textId="77777777" w:rsidR="0043796D" w:rsidRDefault="0043796D" w:rsidP="0043796D">
      <w:pPr>
        <w:pStyle w:val="Default"/>
        <w:ind w:firstLine="720"/>
      </w:pPr>
    </w:p>
    <w:p w14:paraId="37A8729F" w14:textId="09EAD5F8" w:rsidR="00E82FC3" w:rsidRPr="003815F9" w:rsidRDefault="00101E28" w:rsidP="003815F9">
      <w:pPr>
        <w:pStyle w:val="Default"/>
        <w:ind w:firstLine="720"/>
      </w:pPr>
      <w:r w:rsidRPr="00951B6F">
        <w:t>O</w:t>
      </w:r>
      <w:r w:rsidR="000C792C" w:rsidRPr="00951B6F">
        <w:t>ur proposed revision would provide greater specificity as to what the Committee on Judicial Review agreed should</w:t>
      </w:r>
      <w:r w:rsidRPr="00951B6F">
        <w:t xml:space="preserve"> be covered by the new rules.  Cases to be covered by the new rules would be </w:t>
      </w:r>
      <w:r w:rsidR="000C792C" w:rsidRPr="00951B6F">
        <w:t>individual benefit claims that are appellate in nature</w:t>
      </w:r>
      <w:r w:rsidR="00140832">
        <w:t xml:space="preserve">; </w:t>
      </w:r>
      <w:r w:rsidRPr="00951B6F">
        <w:t xml:space="preserve">cases that would not be covered </w:t>
      </w:r>
      <w:r w:rsidR="0084331F">
        <w:t>are those that, because of procedural and substantive differences, fall outside the scope of the rationale for the Committee’s proposal</w:t>
      </w:r>
      <w:r w:rsidR="00161C92">
        <w:t xml:space="preserve">. </w:t>
      </w:r>
    </w:p>
    <w:p w14:paraId="5442076A" w14:textId="77777777" w:rsidR="00E82FC3" w:rsidRDefault="00E82FC3" w:rsidP="00E82FC3">
      <w:pPr>
        <w:pStyle w:val="FootnoteText"/>
        <w:ind w:firstLine="720"/>
        <w:rPr>
          <w:color w:val="000000"/>
          <w:szCs w:val="24"/>
        </w:rPr>
      </w:pPr>
    </w:p>
    <w:p w14:paraId="04235C8E" w14:textId="77777777" w:rsidR="00E82FC3" w:rsidRDefault="00E82FC3" w:rsidP="00E82FC3">
      <w:pPr>
        <w:pStyle w:val="FootnoteText"/>
        <w:ind w:firstLine="720"/>
        <w:rPr>
          <w:color w:val="000000"/>
          <w:szCs w:val="24"/>
        </w:rPr>
      </w:pPr>
      <w:r>
        <w:rPr>
          <w:color w:val="000000"/>
          <w:szCs w:val="24"/>
        </w:rPr>
        <w:t>We recommend the following revision to Recommendation 1:</w:t>
      </w:r>
    </w:p>
    <w:p w14:paraId="5BA26E67" w14:textId="77777777" w:rsidR="00E82FC3" w:rsidRPr="00951B6F" w:rsidRDefault="00E82FC3" w:rsidP="000C792C">
      <w:pPr>
        <w:pStyle w:val="FootnoteText"/>
        <w:rPr>
          <w:szCs w:val="24"/>
        </w:rPr>
      </w:pPr>
    </w:p>
    <w:p w14:paraId="017255D1" w14:textId="20585182" w:rsidR="000C792C" w:rsidRPr="00951B6F" w:rsidRDefault="000C792C" w:rsidP="00623324">
      <w:pPr>
        <w:pStyle w:val="FootnoteText"/>
        <w:ind w:left="720"/>
        <w:rPr>
          <w:i/>
          <w:iCs/>
          <w:szCs w:val="24"/>
        </w:rPr>
      </w:pPr>
      <w:r w:rsidRPr="00951B6F">
        <w:rPr>
          <w:i/>
          <w:iCs/>
          <w:szCs w:val="24"/>
        </w:rPr>
        <w:t>The Judicial Conference, in consultation with Congress as appropriate, should develop for the Supreme Court’s consideration a uniform set of proc</w:t>
      </w:r>
      <w:r w:rsidR="00101E28" w:rsidRPr="00951B6F">
        <w:rPr>
          <w:i/>
          <w:iCs/>
          <w:szCs w:val="24"/>
        </w:rPr>
        <w:t>edural rules for</w:t>
      </w:r>
      <w:r w:rsidRPr="00951B6F">
        <w:rPr>
          <w:i/>
          <w:iCs/>
          <w:szCs w:val="24"/>
        </w:rPr>
        <w:t xml:space="preserve"> cases under the Social Security Act in which an individual seeks district court review of a final administrative decision of the Commissioner of </w:t>
      </w:r>
      <w:r w:rsidR="002254B3" w:rsidRPr="00951B6F">
        <w:rPr>
          <w:i/>
          <w:iCs/>
          <w:szCs w:val="24"/>
        </w:rPr>
        <w:t>Social Security</w:t>
      </w:r>
      <w:r w:rsidRPr="00951B6F">
        <w:rPr>
          <w:i/>
          <w:iCs/>
          <w:szCs w:val="24"/>
        </w:rPr>
        <w:t xml:space="preserve"> pursuant to 42 U.S.C. § 405(g).  These rules would not apply to</w:t>
      </w:r>
      <w:r w:rsidR="003F03D1">
        <w:rPr>
          <w:i/>
          <w:iCs/>
          <w:szCs w:val="24"/>
        </w:rPr>
        <w:t xml:space="preserve"> class actions and other</w:t>
      </w:r>
      <w:r w:rsidRPr="00951B6F">
        <w:rPr>
          <w:i/>
          <w:iCs/>
          <w:szCs w:val="24"/>
        </w:rPr>
        <w:t xml:space="preserve"> </w:t>
      </w:r>
      <w:r w:rsidR="0084331F">
        <w:rPr>
          <w:i/>
          <w:iCs/>
          <w:szCs w:val="24"/>
        </w:rPr>
        <w:t>cases that are outside the scope of the rationale for the proposal</w:t>
      </w:r>
      <w:r w:rsidR="008267AF">
        <w:rPr>
          <w:i/>
          <w:iCs/>
          <w:szCs w:val="24"/>
        </w:rPr>
        <w:t>.</w:t>
      </w:r>
    </w:p>
    <w:p w14:paraId="1A52D1B9" w14:textId="77777777" w:rsidR="00DE7554" w:rsidRPr="00951B6F" w:rsidRDefault="00DE7554" w:rsidP="00DE7554">
      <w:pPr>
        <w:pStyle w:val="FootnoteText"/>
        <w:rPr>
          <w:szCs w:val="24"/>
        </w:rPr>
      </w:pPr>
    </w:p>
    <w:p w14:paraId="764472C8" w14:textId="2602C76E" w:rsidR="00E82FC3" w:rsidRDefault="00E82FC3" w:rsidP="00E82FC3">
      <w:pPr>
        <w:pStyle w:val="FootnoteText"/>
        <w:ind w:firstLine="720"/>
        <w:rPr>
          <w:szCs w:val="24"/>
        </w:rPr>
      </w:pPr>
      <w:r>
        <w:rPr>
          <w:szCs w:val="24"/>
        </w:rPr>
        <w:t xml:space="preserve">We </w:t>
      </w:r>
      <w:r w:rsidRPr="00E82FC3">
        <w:rPr>
          <w:szCs w:val="24"/>
        </w:rPr>
        <w:t>are hopeful that this language accomplishes two goals.  First, we want to ensure that a</w:t>
      </w:r>
      <w:r w:rsidR="008310AE">
        <w:rPr>
          <w:szCs w:val="24"/>
        </w:rPr>
        <w:t>ny set of new rules focuses on the</w:t>
      </w:r>
      <w:r w:rsidRPr="00E82FC3">
        <w:rPr>
          <w:szCs w:val="24"/>
        </w:rPr>
        <w:t xml:space="preserve"> final administrative decision being challenged, rather than on the specific title of the Act under which benefits were originally sought.  While the majority of benefit claims (and challenges) will relate to Titles II and XVI, there may be final decisions challenged that relate to Titles VIII or XVIII, and such challenges would fit within the ordinary mold of appellate-like cases that the new rules are designed to cover.  Second, we want to </w:t>
      </w:r>
      <w:r w:rsidR="0084331F">
        <w:rPr>
          <w:szCs w:val="24"/>
        </w:rPr>
        <w:t xml:space="preserve">note that certain types of cases, whether brought by a single plaintiff or a class of plaintiffs, may be procedurally and substantively unlike the typical </w:t>
      </w:r>
      <w:r w:rsidR="00C85239">
        <w:rPr>
          <w:szCs w:val="24"/>
        </w:rPr>
        <w:t xml:space="preserve">Social Security </w:t>
      </w:r>
      <w:r w:rsidR="0084331F">
        <w:rPr>
          <w:szCs w:val="24"/>
        </w:rPr>
        <w:t xml:space="preserve">case that they would fall outside the scope of the rationale for the proposal and, </w:t>
      </w:r>
      <w:r w:rsidR="007C7CFD">
        <w:rPr>
          <w:szCs w:val="24"/>
        </w:rPr>
        <w:t>therefore</w:t>
      </w:r>
      <w:r w:rsidR="0084331F">
        <w:rPr>
          <w:szCs w:val="24"/>
        </w:rPr>
        <w:t>, should be excluded from these rules</w:t>
      </w:r>
      <w:r w:rsidRPr="00E82FC3">
        <w:rPr>
          <w:szCs w:val="24"/>
        </w:rPr>
        <w:t>.</w:t>
      </w:r>
    </w:p>
    <w:p w14:paraId="3AF4606D" w14:textId="77777777" w:rsidR="00E82FC3" w:rsidRDefault="00E82FC3" w:rsidP="00E82FC3">
      <w:pPr>
        <w:pStyle w:val="FootnoteText"/>
        <w:ind w:firstLine="720"/>
        <w:rPr>
          <w:szCs w:val="24"/>
        </w:rPr>
      </w:pPr>
    </w:p>
    <w:p w14:paraId="4C23F7E9" w14:textId="77777777" w:rsidR="00E82FC3" w:rsidRDefault="00AA7E2A" w:rsidP="00E82FC3">
      <w:pPr>
        <w:pStyle w:val="FootnoteText"/>
        <w:ind w:firstLine="720"/>
        <w:rPr>
          <w:szCs w:val="24"/>
        </w:rPr>
      </w:pPr>
      <w:r>
        <w:rPr>
          <w:szCs w:val="24"/>
        </w:rPr>
        <w:t xml:space="preserve">For consistency, </w:t>
      </w:r>
      <w:r w:rsidR="008310AE">
        <w:rPr>
          <w:szCs w:val="24"/>
        </w:rPr>
        <w:t>corresponding revisions should also be made</w:t>
      </w:r>
      <w:r w:rsidR="00E82FC3">
        <w:rPr>
          <w:szCs w:val="24"/>
        </w:rPr>
        <w:t xml:space="preserve"> </w:t>
      </w:r>
      <w:r w:rsidR="00F07279">
        <w:rPr>
          <w:szCs w:val="24"/>
        </w:rPr>
        <w:t xml:space="preserve">to </w:t>
      </w:r>
      <w:r w:rsidR="00E82FC3">
        <w:rPr>
          <w:szCs w:val="24"/>
        </w:rPr>
        <w:t>the preamble at lines 2</w:t>
      </w:r>
      <w:r w:rsidR="00E82FC3" w:rsidRPr="00E82FC3">
        <w:rPr>
          <w:szCs w:val="24"/>
        </w:rPr>
        <w:t>–</w:t>
      </w:r>
      <w:r w:rsidR="00E82FC3">
        <w:rPr>
          <w:szCs w:val="24"/>
        </w:rPr>
        <w:t>3 and 132</w:t>
      </w:r>
      <w:r w:rsidR="00E82FC3" w:rsidRPr="00E82FC3">
        <w:rPr>
          <w:szCs w:val="24"/>
        </w:rPr>
        <w:t>–</w:t>
      </w:r>
      <w:r w:rsidR="00E82FC3">
        <w:rPr>
          <w:szCs w:val="24"/>
        </w:rPr>
        <w:t>34</w:t>
      </w:r>
      <w:r>
        <w:rPr>
          <w:szCs w:val="24"/>
        </w:rPr>
        <w:t xml:space="preserve">, where the scope of the new rules is </w:t>
      </w:r>
      <w:r w:rsidR="008310AE">
        <w:rPr>
          <w:szCs w:val="24"/>
        </w:rPr>
        <w:t>discussed</w:t>
      </w:r>
      <w:r w:rsidR="00E82FC3">
        <w:rPr>
          <w:szCs w:val="24"/>
        </w:rPr>
        <w:t>.</w:t>
      </w:r>
      <w:r w:rsidR="003815F9">
        <w:rPr>
          <w:szCs w:val="24"/>
        </w:rPr>
        <w:t xml:space="preserve">  In addition, we believe that </w:t>
      </w:r>
      <w:r w:rsidR="008310AE">
        <w:rPr>
          <w:szCs w:val="24"/>
        </w:rPr>
        <w:t xml:space="preserve">it would be </w:t>
      </w:r>
      <w:r w:rsidR="00DD1685">
        <w:rPr>
          <w:szCs w:val="24"/>
        </w:rPr>
        <w:t>help</w:t>
      </w:r>
      <w:r w:rsidR="008310AE">
        <w:rPr>
          <w:szCs w:val="24"/>
        </w:rPr>
        <w:t xml:space="preserve">ful to add the </w:t>
      </w:r>
      <w:r w:rsidR="003815F9">
        <w:rPr>
          <w:szCs w:val="24"/>
        </w:rPr>
        <w:t xml:space="preserve">following </w:t>
      </w:r>
      <w:r w:rsidR="008310AE">
        <w:rPr>
          <w:szCs w:val="24"/>
        </w:rPr>
        <w:t>explanation t</w:t>
      </w:r>
      <w:r w:rsidR="003815F9">
        <w:rPr>
          <w:szCs w:val="24"/>
        </w:rPr>
        <w:t xml:space="preserve">o the preamble, perhaps at line </w:t>
      </w:r>
      <w:r>
        <w:rPr>
          <w:szCs w:val="24"/>
        </w:rPr>
        <w:t>134, immediately preceding the recommendation:</w:t>
      </w:r>
    </w:p>
    <w:p w14:paraId="1AEA75F8" w14:textId="77777777" w:rsidR="003815F9" w:rsidRDefault="003815F9" w:rsidP="00E82FC3">
      <w:pPr>
        <w:pStyle w:val="FootnoteText"/>
        <w:ind w:firstLine="720"/>
        <w:rPr>
          <w:szCs w:val="24"/>
        </w:rPr>
      </w:pPr>
    </w:p>
    <w:p w14:paraId="76C66F24" w14:textId="032FBAA4" w:rsidR="00AA7E2A" w:rsidRPr="00951B6F" w:rsidRDefault="003815F9" w:rsidP="002617FF">
      <w:pPr>
        <w:pStyle w:val="FootnoteText"/>
        <w:ind w:left="720"/>
        <w:rPr>
          <w:szCs w:val="24"/>
        </w:rPr>
      </w:pPr>
      <w:r w:rsidRPr="00E82FC3">
        <w:rPr>
          <w:i/>
        </w:rPr>
        <w:t xml:space="preserve">The Conference recognizes that some cases might </w:t>
      </w:r>
      <w:r w:rsidR="00C83491">
        <w:rPr>
          <w:i/>
        </w:rPr>
        <w:t>be brought under</w:t>
      </w:r>
      <w:r w:rsidRPr="00E82FC3">
        <w:rPr>
          <w:i/>
        </w:rPr>
        <w:t xml:space="preserve"> section 405(g)</w:t>
      </w:r>
      <w:r w:rsidR="003441D1">
        <w:rPr>
          <w:i/>
        </w:rPr>
        <w:t xml:space="preserve"> that</w:t>
      </w:r>
      <w:r w:rsidRPr="00E82FC3">
        <w:rPr>
          <w:i/>
        </w:rPr>
        <w:t xml:space="preserve"> would fall outside the rationale for the</w:t>
      </w:r>
      <w:r w:rsidR="00C83491">
        <w:rPr>
          <w:i/>
        </w:rPr>
        <w:t xml:space="preserve"> proposed new</w:t>
      </w:r>
      <w:r w:rsidR="00786485">
        <w:rPr>
          <w:i/>
        </w:rPr>
        <w:t xml:space="preserve"> rules. </w:t>
      </w:r>
      <w:r w:rsidRPr="00E82FC3">
        <w:rPr>
          <w:i/>
        </w:rPr>
        <w:t xml:space="preserve"> </w:t>
      </w:r>
      <w:r w:rsidR="004A1190">
        <w:rPr>
          <w:i/>
        </w:rPr>
        <w:t xml:space="preserve">This could include class actions </w:t>
      </w:r>
      <w:r w:rsidR="003F03D1">
        <w:rPr>
          <w:i/>
        </w:rPr>
        <w:t>and other</w:t>
      </w:r>
      <w:r w:rsidR="004A1190">
        <w:rPr>
          <w:i/>
        </w:rPr>
        <w:t xml:space="preserve"> broad challenges to program administration, such as challenges to the constitutionality or validity of statutory and regulatory requirements, or similar broad challenges to agency policies and procedures. </w:t>
      </w:r>
      <w:r w:rsidR="009B44C5">
        <w:rPr>
          <w:i/>
        </w:rPr>
        <w:t xml:space="preserve"> </w:t>
      </w:r>
      <w:r w:rsidR="004A1190">
        <w:rPr>
          <w:i/>
        </w:rPr>
        <w:t>By citing t</w:t>
      </w:r>
      <w:r w:rsidRPr="00E82FC3">
        <w:rPr>
          <w:i/>
        </w:rPr>
        <w:t>he</w:t>
      </w:r>
      <w:r w:rsidR="00C83491">
        <w:rPr>
          <w:i/>
        </w:rPr>
        <w:t>se examples</w:t>
      </w:r>
      <w:r w:rsidR="004A1190">
        <w:rPr>
          <w:i/>
        </w:rPr>
        <w:t xml:space="preserve">, the </w:t>
      </w:r>
      <w:r w:rsidR="000A4B82">
        <w:rPr>
          <w:i/>
        </w:rPr>
        <w:t>Conference</w:t>
      </w:r>
      <w:r w:rsidRPr="00E82FC3">
        <w:rPr>
          <w:i/>
        </w:rPr>
        <w:t xml:space="preserve"> </w:t>
      </w:r>
      <w:r w:rsidR="004A1190">
        <w:rPr>
          <w:i/>
        </w:rPr>
        <w:t>does not</w:t>
      </w:r>
      <w:r w:rsidR="00161C92">
        <w:rPr>
          <w:i/>
        </w:rPr>
        <w:t xml:space="preserve"> intend to preclude other exclusions</w:t>
      </w:r>
      <w:r w:rsidR="00C83491">
        <w:rPr>
          <w:i/>
        </w:rPr>
        <w:t>.</w:t>
      </w:r>
      <w:r w:rsidRPr="00E82FC3">
        <w:rPr>
          <w:i/>
        </w:rPr>
        <w:t xml:space="preserve"> </w:t>
      </w:r>
      <w:r w:rsidR="00786485">
        <w:rPr>
          <w:i/>
        </w:rPr>
        <w:t xml:space="preserve"> </w:t>
      </w:r>
      <w:r w:rsidRPr="00E82FC3">
        <w:rPr>
          <w:i/>
        </w:rPr>
        <w:t xml:space="preserve">The task of precisely defining the cases covered by </w:t>
      </w:r>
      <w:r w:rsidR="00C83491">
        <w:rPr>
          <w:i/>
        </w:rPr>
        <w:t>any new rule</w:t>
      </w:r>
      <w:bookmarkStart w:id="0" w:name="_GoBack"/>
      <w:bookmarkEnd w:id="0"/>
      <w:r w:rsidR="00C83491">
        <w:rPr>
          <w:i/>
        </w:rPr>
        <w:t>s</w:t>
      </w:r>
      <w:r w:rsidRPr="00E82FC3">
        <w:rPr>
          <w:i/>
        </w:rPr>
        <w:t xml:space="preserve"> would be worked out by the committee that drafts the rules</w:t>
      </w:r>
      <w:r w:rsidR="00C83491">
        <w:rPr>
          <w:i/>
        </w:rPr>
        <w:t>,</w:t>
      </w:r>
      <w:r w:rsidRPr="00E82FC3">
        <w:rPr>
          <w:i/>
        </w:rPr>
        <w:t xml:space="preserve"> after additional research and more of an opportunity for public comment on the scope of the rules than has been possible for the Conference.</w:t>
      </w:r>
      <w:r w:rsidR="00C85239">
        <w:rPr>
          <w:i/>
        </w:rPr>
        <w:t xml:space="preserve">  It may also be necessary to include specific rules explaining the procedure for </w:t>
      </w:r>
      <w:r w:rsidR="00025FFE">
        <w:rPr>
          <w:i/>
        </w:rPr>
        <w:t xml:space="preserve">the </w:t>
      </w:r>
      <w:r w:rsidR="00C85239">
        <w:rPr>
          <w:i/>
        </w:rPr>
        <w:t>exclu</w:t>
      </w:r>
      <w:r w:rsidR="00025FFE">
        <w:rPr>
          <w:i/>
        </w:rPr>
        <w:t>sion of appropriate</w:t>
      </w:r>
      <w:r w:rsidR="00C85239">
        <w:rPr>
          <w:i/>
        </w:rPr>
        <w:t xml:space="preserve"> cases.  </w:t>
      </w:r>
    </w:p>
    <w:sectPr w:rsidR="00AA7E2A" w:rsidRPr="00951B6F" w:rsidSect="002617FF">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1B83" w14:textId="77777777" w:rsidR="003107C5" w:rsidRDefault="003107C5" w:rsidP="007306B3">
      <w:r>
        <w:separator/>
      </w:r>
    </w:p>
  </w:endnote>
  <w:endnote w:type="continuationSeparator" w:id="0">
    <w:p w14:paraId="4EEA2126" w14:textId="77777777" w:rsidR="003107C5" w:rsidRDefault="003107C5" w:rsidP="0073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EEC0" w14:textId="77777777" w:rsidR="003107C5" w:rsidRDefault="003107C5" w:rsidP="007306B3">
      <w:r>
        <w:separator/>
      </w:r>
    </w:p>
  </w:footnote>
  <w:footnote w:type="continuationSeparator" w:id="0">
    <w:p w14:paraId="3A0BABE6" w14:textId="77777777" w:rsidR="003107C5" w:rsidRDefault="003107C5" w:rsidP="0073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692"/>
    <w:multiLevelType w:val="hybridMultilevel"/>
    <w:tmpl w:val="1A7A33B2"/>
    <w:lvl w:ilvl="0" w:tplc="DF1A9A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4781"/>
    <w:multiLevelType w:val="hybridMultilevel"/>
    <w:tmpl w:val="076AE5D8"/>
    <w:lvl w:ilvl="0" w:tplc="8EE455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54"/>
    <w:rsid w:val="00025FFE"/>
    <w:rsid w:val="00086D4E"/>
    <w:rsid w:val="000A4B82"/>
    <w:rsid w:val="000C792C"/>
    <w:rsid w:val="000D1E74"/>
    <w:rsid w:val="00101E28"/>
    <w:rsid w:val="00140832"/>
    <w:rsid w:val="00154820"/>
    <w:rsid w:val="00161C92"/>
    <w:rsid w:val="00181D38"/>
    <w:rsid w:val="0018516A"/>
    <w:rsid w:val="001C3D2F"/>
    <w:rsid w:val="002254B3"/>
    <w:rsid w:val="00225D0B"/>
    <w:rsid w:val="002361C9"/>
    <w:rsid w:val="002617FF"/>
    <w:rsid w:val="00293D22"/>
    <w:rsid w:val="002F36FC"/>
    <w:rsid w:val="003107C5"/>
    <w:rsid w:val="003441D1"/>
    <w:rsid w:val="0035556B"/>
    <w:rsid w:val="00357888"/>
    <w:rsid w:val="00360841"/>
    <w:rsid w:val="0037537A"/>
    <w:rsid w:val="003815F9"/>
    <w:rsid w:val="00385644"/>
    <w:rsid w:val="003A28ED"/>
    <w:rsid w:val="003F03D1"/>
    <w:rsid w:val="003F49AE"/>
    <w:rsid w:val="0043796D"/>
    <w:rsid w:val="00450028"/>
    <w:rsid w:val="004A0791"/>
    <w:rsid w:val="004A1190"/>
    <w:rsid w:val="004E5C3A"/>
    <w:rsid w:val="004F2E20"/>
    <w:rsid w:val="005225BD"/>
    <w:rsid w:val="0053323D"/>
    <w:rsid w:val="0058295F"/>
    <w:rsid w:val="005851A0"/>
    <w:rsid w:val="0059591F"/>
    <w:rsid w:val="005C326C"/>
    <w:rsid w:val="005E22A5"/>
    <w:rsid w:val="00623324"/>
    <w:rsid w:val="00642EC5"/>
    <w:rsid w:val="006E4ED0"/>
    <w:rsid w:val="007306B3"/>
    <w:rsid w:val="00741CD6"/>
    <w:rsid w:val="007629E9"/>
    <w:rsid w:val="007749D9"/>
    <w:rsid w:val="00786485"/>
    <w:rsid w:val="00794759"/>
    <w:rsid w:val="007C7CFD"/>
    <w:rsid w:val="007F0E37"/>
    <w:rsid w:val="008202F6"/>
    <w:rsid w:val="008267AF"/>
    <w:rsid w:val="008310AE"/>
    <w:rsid w:val="0084331F"/>
    <w:rsid w:val="00857928"/>
    <w:rsid w:val="008773D5"/>
    <w:rsid w:val="008D40B6"/>
    <w:rsid w:val="008F4A10"/>
    <w:rsid w:val="00951B6F"/>
    <w:rsid w:val="00954C3C"/>
    <w:rsid w:val="00985658"/>
    <w:rsid w:val="00996894"/>
    <w:rsid w:val="009B44C5"/>
    <w:rsid w:val="009F589A"/>
    <w:rsid w:val="00A260E2"/>
    <w:rsid w:val="00A4318E"/>
    <w:rsid w:val="00A51F00"/>
    <w:rsid w:val="00A876A1"/>
    <w:rsid w:val="00AA7E2A"/>
    <w:rsid w:val="00B50E25"/>
    <w:rsid w:val="00B9507B"/>
    <w:rsid w:val="00B953E9"/>
    <w:rsid w:val="00BA401E"/>
    <w:rsid w:val="00C1425A"/>
    <w:rsid w:val="00C239E0"/>
    <w:rsid w:val="00C24500"/>
    <w:rsid w:val="00C75C49"/>
    <w:rsid w:val="00C83491"/>
    <w:rsid w:val="00C85239"/>
    <w:rsid w:val="00CD59AD"/>
    <w:rsid w:val="00D339E9"/>
    <w:rsid w:val="00D34531"/>
    <w:rsid w:val="00DA4D88"/>
    <w:rsid w:val="00DA7580"/>
    <w:rsid w:val="00DD1685"/>
    <w:rsid w:val="00DE7554"/>
    <w:rsid w:val="00E33E3E"/>
    <w:rsid w:val="00E5707B"/>
    <w:rsid w:val="00E82FC3"/>
    <w:rsid w:val="00E837A5"/>
    <w:rsid w:val="00E904C6"/>
    <w:rsid w:val="00E9551A"/>
    <w:rsid w:val="00EA5FCC"/>
    <w:rsid w:val="00EE6193"/>
    <w:rsid w:val="00F07279"/>
    <w:rsid w:val="00F23393"/>
    <w:rsid w:val="00F36470"/>
    <w:rsid w:val="00F844D6"/>
    <w:rsid w:val="00F95F7A"/>
    <w:rsid w:val="00FA3941"/>
    <w:rsid w:val="00FA3C86"/>
    <w:rsid w:val="00FF1C9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FootnoteText"/>
    <w:qFormat/>
    <w:rsid w:val="00DA7580"/>
    <w:pPr>
      <w:autoSpaceDE w:val="0"/>
      <w:autoSpaceDN w:val="0"/>
      <w:adjustRightInd w:val="0"/>
      <w:spacing w:after="0" w:line="240" w:lineRule="auto"/>
    </w:pPr>
    <w:rPr>
      <w:rFonts w:ascii="Times New Roman" w:hAnsi="Times New Roman" w:cs="Times New Roman"/>
      <w:sz w:val="24"/>
      <w:szCs w:val="20"/>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FootnoteText"/>
    <w:next w:val="FootnoteText"/>
    <w:link w:val="FooterChar"/>
    <w:rsid w:val="00A876A1"/>
  </w:style>
  <w:style w:type="character" w:customStyle="1" w:styleId="FooterChar">
    <w:name w:val="Footer Char"/>
    <w:link w:val="Footer"/>
    <w:rsid w:val="00A876A1"/>
    <w:rPr>
      <w:rFonts w:ascii="Times New Roman" w:hAnsi="Times New Roman"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FootnoteText">
    <w:name w:val="footnote text"/>
    <w:basedOn w:val="Normal"/>
    <w:link w:val="FootnoteTextChar"/>
    <w:uiPriority w:val="99"/>
    <w:unhideWhenUsed/>
    <w:rsid w:val="00EE6193"/>
  </w:style>
  <w:style w:type="character" w:customStyle="1" w:styleId="FootnoteTextChar">
    <w:name w:val="Footnote Text Char"/>
    <w:basedOn w:val="DefaultParagraphFont"/>
    <w:link w:val="FootnoteText"/>
    <w:uiPriority w:val="99"/>
    <w:rsid w:val="00EE6193"/>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7306B3"/>
    <w:rPr>
      <w:vertAlign w:val="superscript"/>
    </w:rPr>
  </w:style>
  <w:style w:type="paragraph" w:customStyle="1" w:styleId="Default">
    <w:name w:val="Default"/>
    <w:rsid w:val="000C792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1C92"/>
    <w:rPr>
      <w:sz w:val="16"/>
      <w:szCs w:val="16"/>
    </w:rPr>
  </w:style>
  <w:style w:type="paragraph" w:styleId="CommentText">
    <w:name w:val="annotation text"/>
    <w:basedOn w:val="Normal"/>
    <w:link w:val="CommentTextChar"/>
    <w:uiPriority w:val="99"/>
    <w:semiHidden/>
    <w:unhideWhenUsed/>
    <w:rsid w:val="00161C92"/>
    <w:rPr>
      <w:sz w:val="20"/>
    </w:rPr>
  </w:style>
  <w:style w:type="character" w:customStyle="1" w:styleId="CommentTextChar">
    <w:name w:val="Comment Text Char"/>
    <w:basedOn w:val="DefaultParagraphFont"/>
    <w:link w:val="CommentText"/>
    <w:uiPriority w:val="99"/>
    <w:semiHidden/>
    <w:rsid w:val="00161C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C92"/>
    <w:rPr>
      <w:b/>
      <w:bCs/>
    </w:rPr>
  </w:style>
  <w:style w:type="character" w:customStyle="1" w:styleId="CommentSubjectChar">
    <w:name w:val="Comment Subject Char"/>
    <w:basedOn w:val="CommentTextChar"/>
    <w:link w:val="CommentSubject"/>
    <w:uiPriority w:val="99"/>
    <w:semiHidden/>
    <w:rsid w:val="00161C9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09FB-E0CE-4636-9EC9-B88CB3A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2016-12-07T21:51:00Z</dcterms:created>
  <dcterms:modified xsi:type="dcterms:W3CDTF">2016-12-07T21:51:00Z</dcterms:modified>
</cp:coreProperties>
</file>